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УТВЕРЖДЕНО </w:t>
      </w: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Решением общего собрания членов</w:t>
      </w: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НП "Национальная организация </w:t>
      </w: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специалистов в области энергетических обследований </w:t>
      </w: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 энергетической эффективности"</w:t>
      </w: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(протокол № 2 от 30.11.2010 г.)</w:t>
      </w: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97DE1" w:rsidRPr="008B104B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 xml:space="preserve">с изменениями и дополнениями, утвержденными </w:t>
      </w:r>
    </w:p>
    <w:p w:rsidR="00B97DE1" w:rsidRPr="008B104B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 xml:space="preserve">решением Общего собрания членов </w:t>
      </w:r>
    </w:p>
    <w:p w:rsidR="00B97DE1" w:rsidRPr="008B104B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 xml:space="preserve">Некоммерческого </w:t>
      </w:r>
      <w:r>
        <w:rPr>
          <w:rFonts w:ascii="TimesNewRoman" w:hAnsi="TimesNewRoman" w:cs="TimesNewRoman"/>
          <w:sz w:val="28"/>
          <w:szCs w:val="28"/>
        </w:rPr>
        <w:t>Партнерства</w:t>
      </w:r>
    </w:p>
    <w:p w:rsidR="00B97DE1" w:rsidRPr="008B104B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 xml:space="preserve">«Национальная организация специалистов </w:t>
      </w:r>
    </w:p>
    <w:p w:rsidR="00B97DE1" w:rsidRPr="008B104B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 xml:space="preserve">в области энергетических обследований </w:t>
      </w:r>
    </w:p>
    <w:p w:rsidR="00B97DE1" w:rsidRPr="008B104B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>и энергетической эффективности»</w:t>
      </w:r>
    </w:p>
    <w:p w:rsidR="00B97DE1" w:rsidRPr="008B104B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>от 25.02.2015г. (Протокол № 7 от 25.02.2015г.)</w:t>
      </w: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97DE1" w:rsidRPr="00BC324C" w:rsidRDefault="00B97DE1" w:rsidP="00B97DE1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Союз</w:t>
      </w:r>
    </w:p>
    <w:p w:rsidR="00B97DE1" w:rsidRPr="00BC324C" w:rsidRDefault="00B97DE1" w:rsidP="00B97DE1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>«Национальная организация специалистов</w:t>
      </w:r>
    </w:p>
    <w:p w:rsidR="00B97DE1" w:rsidRPr="00BC324C" w:rsidRDefault="00B97DE1" w:rsidP="00B97DE1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 xml:space="preserve">в области энергетических обследований </w:t>
      </w:r>
    </w:p>
    <w:p w:rsidR="00B97DE1" w:rsidRPr="00BC324C" w:rsidRDefault="00B97DE1" w:rsidP="00B97DE1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>и энергетической эффективности»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NewRoman,Bold" w:hAnsi="TimesNewRoman,Bold" w:cs="TimesNewRoman,Bold"/>
          <w:b/>
          <w:bCs/>
          <w:sz w:val="40"/>
          <w:szCs w:val="40"/>
        </w:rPr>
        <w:t>Стандарт</w:t>
      </w:r>
      <w:r>
        <w:rPr>
          <w:rFonts w:ascii="TimesNewRoman,Bold" w:hAnsi="TimesNewRoman,Bold" w:cs="TimesNewRoman,Bold"/>
          <w:b/>
          <w:bCs/>
          <w:sz w:val="40"/>
          <w:szCs w:val="40"/>
        </w:rPr>
        <w:t xml:space="preserve"> 2</w:t>
      </w:r>
      <w:bookmarkStart w:id="0" w:name="_GoBack"/>
      <w:bookmarkEnd w:id="0"/>
      <w:r>
        <w:rPr>
          <w:rFonts w:ascii="TimesNewRoman,Bold" w:hAnsi="TimesNewRoman,Bold" w:cs="TimesNewRoman,Bold"/>
          <w:b/>
          <w:bCs/>
          <w:sz w:val="40"/>
          <w:szCs w:val="40"/>
        </w:rPr>
        <w:t>.3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оформления энергетического паспорта, составленного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по результатам энергетического обследования</w:t>
      </w: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B97DE1" w:rsidRPr="00DD021E" w:rsidRDefault="00B97DE1" w:rsidP="00B97D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Москва 2015 г.</w:t>
      </w: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97DE1" w:rsidRDefault="00B97DE1" w:rsidP="00B97D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97DE1" w:rsidRPr="009C7E5C" w:rsidRDefault="00B97DE1" w:rsidP="00B97D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1.1. </w:t>
      </w:r>
      <w:proofErr w:type="gramStart"/>
      <w:r>
        <w:rPr>
          <w:rFonts w:ascii="TimesNewRoman" w:hAnsi="TimesNewRoman" w:cs="TimesNewRoman"/>
          <w:sz w:val="28"/>
          <w:szCs w:val="28"/>
        </w:rPr>
        <w:t xml:space="preserve">Настоящий Стандарт разработан в соответствии с требованиями  Федерального закона от 23 ноября 2009 г. «Об энергосбережении и о повышении энергетической эффективности и о внесении изменений в отдельные законодательные акты Российской Федерации» № 261-ФЗ, Федерального закона от 01 декабря 2007 г. «О саморегулируемых организациях» № 315-ФЗ, </w:t>
      </w:r>
      <w:r w:rsidRPr="005A20A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0A9">
        <w:rPr>
          <w:rFonts w:ascii="Times New Roman" w:hAnsi="Times New Roman" w:cs="Times New Roman"/>
          <w:sz w:val="28"/>
          <w:szCs w:val="28"/>
        </w:rPr>
        <w:t xml:space="preserve"> Минэнерго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0A9">
        <w:rPr>
          <w:rFonts w:ascii="Times New Roman" w:hAnsi="Times New Roman" w:cs="Times New Roman"/>
          <w:sz w:val="28"/>
          <w:szCs w:val="28"/>
        </w:rPr>
        <w:t>от 10.01.2015 г</w:t>
      </w:r>
      <w:r>
        <w:rPr>
          <w:rFonts w:ascii="Times New Roman" w:hAnsi="Times New Roman" w:cs="Times New Roman"/>
          <w:sz w:val="28"/>
          <w:szCs w:val="28"/>
        </w:rPr>
        <w:t xml:space="preserve">. № 400 </w:t>
      </w:r>
      <w:r w:rsidRPr="005A20A9">
        <w:rPr>
          <w:rFonts w:ascii="Times New Roman" w:hAnsi="Times New Roman" w:cs="Times New Roman"/>
          <w:bCs/>
          <w:sz w:val="28"/>
          <w:szCs w:val="28"/>
        </w:rPr>
        <w:t>«Об утверждении требований к проведению энергетического обследования и его результатам</w:t>
      </w:r>
      <w:proofErr w:type="gramEnd"/>
      <w:r w:rsidRPr="005A20A9">
        <w:rPr>
          <w:rFonts w:ascii="Times New Roman" w:hAnsi="Times New Roman" w:cs="Times New Roman"/>
          <w:bCs/>
          <w:sz w:val="28"/>
          <w:szCs w:val="28"/>
        </w:rPr>
        <w:t xml:space="preserve"> и правил направления копий энергетического паспорта, составленного по результатам обязательного энергетического обследования»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другими нормативными актами в области энергетического обследования и положениями Устава Союза «Национальная организация специалистов в области энергетических обследований и энергетической эффективности» (далее – Союз).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1.2.  Настоящий Стандарт является обязательным документом для членов некоммерческого Союза, </w:t>
      </w:r>
      <w:proofErr w:type="gramStart"/>
      <w:r>
        <w:rPr>
          <w:rFonts w:ascii="TimesNewRoman" w:hAnsi="TimesNewRoman" w:cs="TimesNewRoman"/>
          <w:sz w:val="28"/>
          <w:szCs w:val="28"/>
        </w:rPr>
        <w:t>которое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имеет статус саморегулируемой организации в области энергетического аудита.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1.3.  Энергетический паспорт составляется по итогам энергетического обследования юридического лица, индивидуального предпринимателя, продукции, технологического процесса, многоквартирного дома.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2.Правила к содержанию и заполнению форм энергетического паспорта.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2.1. Титульный лист энергетического паспорта должен содержать: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документа с указанием вида энергетического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обследования (обязательное, добровольное);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объекта энергетического обследования;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дату составления энергетического паспорта;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регистрационный номер энергетического паспорта, присваиваемый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саморегулируемой организацией;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организации (лица), проводившего энергетическое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обследование;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саморегулируемой организации, членом которой является организация (лицо), проводившее энергетическое обследование;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подпись лица, проводившего энергетическое обследование (руководителя юридического лица, индивидуального предпринимателя, физического лица);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должность и подпись лица, заказавшего проведение энергетического обследования, или уполномоченного им лица;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Pr="00A8320B">
        <w:rPr>
          <w:rFonts w:ascii="TimesNewRoman" w:hAnsi="TimesNewRoman" w:cs="TimesNewRoman"/>
          <w:sz w:val="28"/>
          <w:szCs w:val="28"/>
        </w:rPr>
        <w:t>должность, подпись лица, осуществляющего функции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A8320B">
        <w:rPr>
          <w:rFonts w:ascii="TimesNewRoman" w:hAnsi="TimesNewRoman" w:cs="TimesNewRoman"/>
          <w:sz w:val="28"/>
          <w:szCs w:val="28"/>
        </w:rPr>
        <w:t>единоличного исполнительного органа СРО (руководителя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A8320B">
        <w:rPr>
          <w:rFonts w:ascii="TimesNewRoman" w:hAnsi="TimesNewRoman" w:cs="TimesNewRoman"/>
          <w:sz w:val="28"/>
          <w:szCs w:val="28"/>
        </w:rPr>
        <w:t>коллегиального исполнительного органа СРО)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 Общие сведения об объекте энергетического обследования должны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содержать: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2.2.1 Информацию об организации, включая: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полное наименование организации;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вид собственности организации (государственная, частная, смешанная);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отраслевую принадлежность организации, код по ОКВЭД;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банковские реквизиты, ИНН;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юридический адрес;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фактический адрес;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Ф.И.О., должность руководителя организации, или руководителя коллективного исполнительного органа организации;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Ф.И.О., должности, номера телефонов, факсов, адреса электронной почты должностных лиц, ответственных за техническое обеспечение и энергетическое хозяйство организации;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Pr="00BE766D">
        <w:rPr>
          <w:rFonts w:ascii="TimesNewRoman" w:hAnsi="TimesNewRoman" w:cs="TimesNewRoman"/>
          <w:sz w:val="28"/>
          <w:szCs w:val="28"/>
        </w:rPr>
        <w:t>Сведения о внедрении системы энергетического менеджмента</w:t>
      </w:r>
      <w:r>
        <w:rPr>
          <w:rFonts w:ascii="TimesNewRoman" w:hAnsi="TimesNewRoman" w:cs="TimesNewRoman"/>
          <w:sz w:val="28"/>
          <w:szCs w:val="28"/>
        </w:rPr>
        <w:t xml:space="preserve"> (при наличии);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- наименование головной организации (при наличии).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2.2.2 Информацию о выпускаемой продукции, работах, услугах, энергопотреблении по годам, предшествующих году проведению энергетического обследования, и за текущий год, на дату начала проведения энергетического обследования, в том числе: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номенклатура основной продукции (работ, услуг);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код основной продукции (работ, услуг) по ОКДП;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номенклатура дополнительной продукции (работ, услуг);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код дополнительной продукции (работ, услуг) по ОКДП;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объем производства продукции (работ, услуг) в стоимостном (тыс. руб.) и натуральном выражении всего, в том числе по номенклатуре основной  и дополнительной продукции (работ, услуг);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 xml:space="preserve">- потребление энергоресурсов всего, в том числе на производство номенклатуры основной и дополнительной продукции (работ, услуг), в стоимостном (тыс. руб.) и условном (тыс. т </w:t>
      </w:r>
      <w:proofErr w:type="spellStart"/>
      <w:r>
        <w:rPr>
          <w:rFonts w:ascii="TimesNewRoman" w:hAnsi="TimesNewRoman" w:cs="TimesNewRoman"/>
          <w:sz w:val="28"/>
          <w:szCs w:val="28"/>
        </w:rPr>
        <w:t>у.т</w:t>
      </w:r>
      <w:proofErr w:type="spellEnd"/>
      <w:r>
        <w:rPr>
          <w:rFonts w:ascii="TimesNewRoman" w:hAnsi="TimesNewRoman" w:cs="TimesNewRoman"/>
          <w:sz w:val="28"/>
          <w:szCs w:val="28"/>
        </w:rPr>
        <w:t>.) выражении;</w:t>
      </w:r>
      <w:proofErr w:type="gramEnd"/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Pr="000F0B68">
        <w:rPr>
          <w:rFonts w:ascii="TimesNewRoman" w:hAnsi="TimesNewRoman" w:cs="TimesNewRoman"/>
          <w:sz w:val="28"/>
          <w:szCs w:val="28"/>
        </w:rPr>
        <w:t>Объем потребленной воды в</w:t>
      </w:r>
      <w:r>
        <w:rPr>
          <w:rFonts w:ascii="TimesNewRoman" w:hAnsi="TimesNewRoman" w:cs="TimesNewRoman"/>
          <w:sz w:val="28"/>
          <w:szCs w:val="28"/>
        </w:rPr>
        <w:t xml:space="preserve"> натуральном и</w:t>
      </w:r>
      <w:r w:rsidRPr="000F0B68">
        <w:rPr>
          <w:rFonts w:ascii="TimesNewRoman" w:hAnsi="TimesNewRoman" w:cs="TimesNewRoman"/>
          <w:sz w:val="28"/>
          <w:szCs w:val="28"/>
        </w:rPr>
        <w:t xml:space="preserve"> стоимостном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0F0B68">
        <w:rPr>
          <w:rFonts w:ascii="TimesNewRoman" w:hAnsi="TimesNewRoman" w:cs="TimesNewRoman"/>
          <w:sz w:val="28"/>
          <w:szCs w:val="28"/>
        </w:rPr>
        <w:t>выражении</w:t>
      </w:r>
      <w:r>
        <w:rPr>
          <w:rFonts w:ascii="TimesNewRoman" w:hAnsi="TimesNewRoman" w:cs="TimesNewRoman"/>
          <w:sz w:val="28"/>
          <w:szCs w:val="28"/>
        </w:rPr>
        <w:t xml:space="preserve"> (тыс. руб.), в том числе по номенклатуре основной  и дополнительной продукции (работ, услуг);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энергоемкость производства продукции (работ, услуг) всего, в том числе по номенклатуре основной  и дополнительной продукции (тыс. т </w:t>
      </w:r>
      <w:proofErr w:type="spellStart"/>
      <w:r>
        <w:rPr>
          <w:rFonts w:ascii="TimesNewRoman" w:hAnsi="TimesNewRoman" w:cs="TimesNewRoman"/>
          <w:sz w:val="28"/>
          <w:szCs w:val="28"/>
        </w:rPr>
        <w:t>у.т</w:t>
      </w:r>
      <w:proofErr w:type="spellEnd"/>
      <w:r>
        <w:rPr>
          <w:rFonts w:ascii="TimesNewRoman" w:hAnsi="TimesNewRoman" w:cs="TimesNewRoman"/>
          <w:sz w:val="28"/>
          <w:szCs w:val="28"/>
        </w:rPr>
        <w:t>./</w:t>
      </w:r>
      <w:proofErr w:type="spellStart"/>
      <w:r>
        <w:rPr>
          <w:rFonts w:ascii="TimesNewRoman" w:hAnsi="TimesNewRoman" w:cs="TimesNewRoman"/>
          <w:sz w:val="28"/>
          <w:szCs w:val="28"/>
        </w:rPr>
        <w:t>тыс</w:t>
      </w:r>
      <w:proofErr w:type="gramStart"/>
      <w:r>
        <w:rPr>
          <w:rFonts w:ascii="TimesNewRoman" w:hAnsi="TimesNewRoman" w:cs="TimesNewRoman"/>
          <w:sz w:val="28"/>
          <w:szCs w:val="28"/>
        </w:rPr>
        <w:t>.р</w:t>
      </w:r>
      <w:proofErr w:type="gramEnd"/>
      <w:r>
        <w:rPr>
          <w:rFonts w:ascii="TimesNewRoman" w:hAnsi="TimesNewRoman" w:cs="TimesNewRoman"/>
          <w:sz w:val="28"/>
          <w:szCs w:val="28"/>
        </w:rPr>
        <w:t>уб</w:t>
      </w:r>
      <w:proofErr w:type="spellEnd"/>
      <w:r>
        <w:rPr>
          <w:rFonts w:ascii="TimesNewRoman" w:hAnsi="TimesNewRoman" w:cs="TimesNewRoman"/>
          <w:sz w:val="28"/>
          <w:szCs w:val="28"/>
        </w:rPr>
        <w:t>.);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доля оплаты энергоресурсов в стоимости произведенной продукции, в том числе по номенклатуре основной  и дополнительной продукции;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суммарная установленная мощность </w:t>
      </w:r>
      <w:proofErr w:type="spellStart"/>
      <w:r>
        <w:rPr>
          <w:rFonts w:ascii="TimesNewRoman" w:hAnsi="TimesNewRoman" w:cs="TimesNewRoman"/>
          <w:sz w:val="28"/>
          <w:szCs w:val="28"/>
        </w:rPr>
        <w:t>электроприемников</w:t>
      </w:r>
      <w:proofErr w:type="spellEnd"/>
      <w:r>
        <w:rPr>
          <w:rFonts w:ascii="TimesNewRoman" w:hAnsi="TimesNewRoman" w:cs="TimesNewRoman"/>
          <w:sz w:val="28"/>
          <w:szCs w:val="28"/>
        </w:rPr>
        <w:t>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среднесписочная численность организации, в том числе промышленно-производственного персонала.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2.2.3 Сведения об оснащенности приборами учета должны содержать: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ввода со стороны электрической энергии, тепловой энергии, жидкого топлива, газа, воды, оборудованных приборами учета, раздельно по каждому виду энергоресурсов и воды;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- количество точек ввода со стороны электрической энергии, тепловой энергии, жидкого топлива, газа, воды, не оборудованных приборами учета, раздельно по каждому виду энергоресурсов и воды;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учета производимых обследуемой организацией электрической энергии, тепловой энергии, жидкого топлива, газа, воды, оборудованных приборами учета, раздельно по каждому виду энергоресурсов и воды;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учета производимых обследуемой организацией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электрической энергии, тепловой энергии, жидкого топлива, газа, воды, не оборудованных приборами учета, раздельно по каждому виду энергоресурсов и воды;</w:t>
      </w:r>
    </w:p>
    <w:p w:rsidR="00B97DE1" w:rsidRPr="003525BE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учета потребляемых электрической энергии, тепловой энергии, жидкого топлива, газа, воды, оборудованных приборами учета, раздельно по каждому виду энергоресурсов и воды;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учета потребляемых электрической энергии, тепловой энергии, жидкого топлива, газа, воды, не оборудованных приборами учета, раздельно по каждому виду энергоресурсов и воды;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приборов учета получаемых, производимых и потребляемых электрической энергии, тепловой энергии, жидкого топлива, газа, воды с нарушенными сроками поверки, раздельно по каждому виду энергоресурсов и воды;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рекомендации по совершенствованию системы учета энергоресурсов</w:t>
      </w:r>
      <w:proofErr w:type="gramStart"/>
      <w:r>
        <w:rPr>
          <w:rFonts w:ascii="TimesNewRoman" w:hAnsi="TimesNewRoman" w:cs="TimesNewRoman"/>
          <w:sz w:val="28"/>
          <w:szCs w:val="28"/>
        </w:rPr>
        <w:t xml:space="preserve"> ;</w:t>
      </w:r>
      <w:proofErr w:type="gramEnd"/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2.2.4 Сведения об объеме используемых энергетических ресурсов и его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изменениях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должны содержать: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объем потребления раздельно электрической энергии, тепловой энергии, твердого топлива, жидкого топлива, моторного топлива, газа, воды в натуральном выражении по годам за пять лет, предшествующих году проведению энергетического обследования, и за текущий год на дату начала проведения энергетического обследования: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по балансу электрической энергии и его изменениях;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- сведения по балансу тепловой энергии и его изменениях;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по балансу потребления котельно-печного топлива и его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изменениях</w:t>
      </w:r>
      <w:proofErr w:type="gramEnd"/>
      <w:r>
        <w:rPr>
          <w:rFonts w:ascii="TimesNewRoman" w:hAnsi="TimesNewRoman" w:cs="TimesNewRoman"/>
          <w:sz w:val="28"/>
          <w:szCs w:val="28"/>
        </w:rPr>
        <w:t>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Pr="0078264D">
        <w:rPr>
          <w:rFonts w:ascii="TimesNewRoman" w:hAnsi="TimesNewRoman" w:cs="TimesNewRoman"/>
          <w:sz w:val="28"/>
          <w:szCs w:val="28"/>
        </w:rPr>
        <w:t>Сведения по выбросам СО2-эквивалента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78264D">
        <w:rPr>
          <w:rFonts w:ascii="TimesNewRoman" w:hAnsi="TimesNewRoman" w:cs="TimesNewRoman"/>
          <w:sz w:val="28"/>
          <w:szCs w:val="28"/>
        </w:rPr>
        <w:t>при использовании энергетических ресурсов за отчетный (базовый) год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Pr="0078264D">
        <w:rPr>
          <w:rFonts w:ascii="TimesNewRoman" w:hAnsi="TimesNewRoman" w:cs="TimesNewRoman"/>
          <w:sz w:val="28"/>
          <w:szCs w:val="28"/>
        </w:rPr>
        <w:t>Сведения по выбросам СО2-эквивалента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78264D">
        <w:rPr>
          <w:rFonts w:ascii="TimesNewRoman" w:hAnsi="TimesNewRoman" w:cs="TimesNewRoman"/>
          <w:sz w:val="28"/>
          <w:szCs w:val="28"/>
        </w:rPr>
        <w:t>при использовании энергетических ресурсов и его изменениях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по балансу потребления видов моторного топлива и его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изменениях</w:t>
      </w:r>
      <w:proofErr w:type="gramEnd"/>
      <w:r>
        <w:rPr>
          <w:rFonts w:ascii="TimesNewRoman" w:hAnsi="TimesNewRoman" w:cs="TimesNewRoman"/>
          <w:sz w:val="28"/>
          <w:szCs w:val="28"/>
        </w:rPr>
        <w:t>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 сведения по балансу воды и ее </w:t>
      </w:r>
      <w:proofErr w:type="gramStart"/>
      <w:r>
        <w:rPr>
          <w:rFonts w:ascii="TimesNewRoman" w:hAnsi="TimesNewRoman" w:cs="TimesNewRoman"/>
          <w:sz w:val="28"/>
          <w:szCs w:val="28"/>
        </w:rPr>
        <w:t>изменениях</w:t>
      </w:r>
      <w:proofErr w:type="gramEnd"/>
      <w:r>
        <w:rPr>
          <w:rFonts w:ascii="TimesNewRoman" w:hAnsi="TimesNewRoman" w:cs="TimesNewRoman"/>
          <w:sz w:val="28"/>
          <w:szCs w:val="28"/>
        </w:rPr>
        <w:t>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объем потребления электрической и тепловой энергии </w:t>
      </w:r>
      <w:proofErr w:type="gramStart"/>
      <w:r>
        <w:rPr>
          <w:rFonts w:ascii="TimesNewRoman" w:hAnsi="TimesNewRoman" w:cs="TimesNewRoman"/>
          <w:sz w:val="28"/>
          <w:szCs w:val="28"/>
        </w:rPr>
        <w:t>с</w:t>
      </w:r>
      <w:proofErr w:type="gramEnd"/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использованием возобновляемых источников энергии;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показатели использования электрической энергии на цели освещения;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основные технические характеристики и потребление </w:t>
      </w:r>
      <w:proofErr w:type="gramStart"/>
      <w:r>
        <w:rPr>
          <w:rFonts w:ascii="TimesNewRoman" w:hAnsi="TimesNewRoman" w:cs="TimesNewRoman"/>
          <w:sz w:val="28"/>
          <w:szCs w:val="28"/>
        </w:rPr>
        <w:t>энергетических</w:t>
      </w:r>
      <w:proofErr w:type="gramEnd"/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ресурсов основными технологическими комплексами, производствами;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краткая характеристика зданий и сооружений;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рекомендации по проведению организационно-технических мероприятий направленных на сокращение потребления энергетических ресурсов и воды.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2.2.5 Сведения о показателях энергетической эффективности должны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содержать: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наличие или отсутствие программы энергосбережения и повышения </w:t>
      </w:r>
      <w:proofErr w:type="spellStart"/>
      <w:r>
        <w:rPr>
          <w:rFonts w:ascii="TimesNewRoman" w:hAnsi="TimesNewRoman" w:cs="TimesNewRoman"/>
          <w:sz w:val="28"/>
          <w:szCs w:val="28"/>
        </w:rPr>
        <w:t>энергоэффективности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обследуемой организации, дата ее утверждения, соответствие установленным требованиям, сведения о достижении утвержденных целевых показателей энергосбережения и повышения энергетической эффективности;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перечень, описание, показатели </w:t>
      </w:r>
      <w:proofErr w:type="spellStart"/>
      <w:r>
        <w:rPr>
          <w:rFonts w:ascii="TimesNewRoman" w:hAnsi="TimesNewRoman" w:cs="TimesNewRoman"/>
          <w:sz w:val="28"/>
          <w:szCs w:val="28"/>
        </w:rPr>
        <w:t>энергоэффективности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выполненных энергосберегающих мероприятий по годам за пять лет, предшествующих году проведению энергетического обследования, обеспечивших снижение </w:t>
      </w:r>
      <w:r>
        <w:rPr>
          <w:rFonts w:ascii="TimesNewRoman" w:hAnsi="TimesNewRoman" w:cs="TimesNewRoman"/>
          <w:sz w:val="28"/>
          <w:szCs w:val="28"/>
        </w:rPr>
        <w:lastRenderedPageBreak/>
        <w:t>потребления электрической энергии, тепловой энергии, жидкого топлива, моторного топлива, газа, воды;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показатели энергетической эффективности продукции, работ услуг, основных энергоемких технологических процессов, основного оборудования; оценка </w:t>
      </w:r>
      <w:proofErr w:type="gramStart"/>
      <w:r>
        <w:rPr>
          <w:rFonts w:ascii="TimesNewRoman" w:hAnsi="TimesNewRoman" w:cs="TimesNewRoman"/>
          <w:sz w:val="28"/>
          <w:szCs w:val="28"/>
        </w:rPr>
        <w:t>соответствия фактических показателей энергетической эффективности основных видов технологического оборудования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и технологических процессов их техническим (паспортным) показателям;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рекомендации по улучшению показателей энергетической эффективности.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2.2.6 Сведения о величине потерь переданных энергетических ресурсов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должны содержать: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описание линий передачи (транспортировки) энергетических ресурсов, их схематическое изображение, протяженность;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о протяженности воздушных и кабельных линий;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о количестве и установленной мощности трансформаторов;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о количестве и мощности устройств компенсации реактивной мощности;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- наименование, годовой объем передаваемых энергетических ресурсов по годам за пять лет, предшествующих году проведению энергетического обследования, и за текущий год на дату начала проведения энергетического обследования, фактические потери передаваемых энергетических ресурсов по годам за пять лет, предшествующих году проведению энергетического обследования, и за текущий год на дату начала проведения энергетического обследования, значения утвержденных нормативов технологических потерь по видам энергоресурсов;</w:t>
      </w:r>
      <w:proofErr w:type="gramEnd"/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оценка соответствия фактических потерь энергоресурсов утвержденным нормативам за пять лет, предшествующих году проведению энергетического обследования, и за текущий год на дату начала проведения энергетического обследования;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рекомендации по улучшению показателей </w:t>
      </w:r>
      <w:proofErr w:type="spellStart"/>
      <w:r>
        <w:rPr>
          <w:rFonts w:ascii="TimesNewRoman" w:hAnsi="TimesNewRoman" w:cs="TimesNewRoman"/>
          <w:sz w:val="28"/>
          <w:szCs w:val="28"/>
        </w:rPr>
        <w:t>энергоэффективности</w:t>
      </w:r>
      <w:proofErr w:type="spellEnd"/>
      <w:r>
        <w:rPr>
          <w:rFonts w:ascii="TimesNewRoman" w:hAnsi="TimesNewRoman" w:cs="TimesNewRoman"/>
          <w:sz w:val="28"/>
          <w:szCs w:val="28"/>
        </w:rPr>
        <w:t>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2.2.7 Потенциал энергосбережения и оценка возможной экономии энергетических ресурсов.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данном разделе, по результатам энергетического обследования, дается оценка потенциала возможной годовой экономии энергетических ресурсов и воды.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2.2.8 </w:t>
      </w:r>
      <w:r w:rsidRPr="0078264D">
        <w:rPr>
          <w:rFonts w:ascii="TimesNewRoman" w:hAnsi="TimesNewRoman" w:cs="TimesNewRoman"/>
          <w:sz w:val="28"/>
          <w:szCs w:val="28"/>
        </w:rPr>
        <w:t>Сведения о рекомендуемых обеспечивающих мероприятиях по энергосбережению и повышению энергетической эффективности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Указываются организационные м</w:t>
      </w:r>
      <w:r w:rsidRPr="0078264D">
        <w:rPr>
          <w:rFonts w:ascii="TimesNewRoman" w:hAnsi="TimesNewRoman" w:cs="TimesNewRoman"/>
          <w:sz w:val="28"/>
          <w:szCs w:val="28"/>
        </w:rPr>
        <w:t>ероприятия, не дающие экономию энергетических ресурсов и воды в натуральном выражении.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2.2.9 </w:t>
      </w:r>
      <w:r w:rsidRPr="00782966">
        <w:rPr>
          <w:rFonts w:ascii="TimesNewRoman" w:hAnsi="TimesNewRoman" w:cs="TimesNewRoman"/>
          <w:sz w:val="28"/>
          <w:szCs w:val="28"/>
        </w:rPr>
        <w:t>Сведения о рекомендуемых мероприятиях по энергосбережению и повышению энергетической эффективности</w:t>
      </w:r>
      <w:r>
        <w:rPr>
          <w:rFonts w:ascii="TimesNewRoman" w:hAnsi="TimesNewRoman" w:cs="TimesNewRoman"/>
          <w:sz w:val="28"/>
          <w:szCs w:val="28"/>
        </w:rPr>
        <w:t xml:space="preserve">. 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данном разделе, по результатам энергетического обследования, приводится перечень мероприятий по энергосбережению и повышению энергетической эффективности, рекомендуемых к внедрению, в том числе: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и описание мероприятий;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сроки начала и окончания внедрения мероприятий;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стоимостная оценка мероприятий и сроки их окупаемости;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ожидаемая экономия энергоресурсов и воды по каждому</w:t>
      </w:r>
    </w:p>
    <w:p w:rsidR="00B97DE1" w:rsidRDefault="00B97DE1" w:rsidP="00B97DE1">
      <w:pPr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мероприятию.</w:t>
      </w:r>
    </w:p>
    <w:p w:rsidR="00B97DE1" w:rsidRDefault="00B97DE1" w:rsidP="00B97DE1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B97DE1" w:rsidRPr="00C66A2A" w:rsidRDefault="00B97DE1" w:rsidP="00B97DE1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C66A2A">
        <w:rPr>
          <w:rFonts w:ascii="TimesNewRoman" w:hAnsi="TimesNewRoman" w:cs="TimesNewRoman"/>
          <w:sz w:val="28"/>
          <w:szCs w:val="28"/>
        </w:rPr>
        <w:t>Таблицы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C66A2A">
        <w:rPr>
          <w:rFonts w:ascii="TimesNewRoman" w:hAnsi="TimesNewRoman" w:cs="TimesNewRoman"/>
          <w:sz w:val="28"/>
          <w:szCs w:val="28"/>
        </w:rPr>
        <w:t>25÷29 заполняются для организаций, осуществляющих добычу природного газа (газового конденсата, нефти), подземное хранение природного газа, переработку природного газа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B97DE1" w:rsidRDefault="00B97DE1" w:rsidP="00B97DE1">
      <w:pPr>
        <w:spacing w:after="0" w:line="360" w:lineRule="auto"/>
        <w:ind w:firstLine="709"/>
        <w:jc w:val="both"/>
      </w:pPr>
    </w:p>
    <w:p w:rsidR="00C66A2A" w:rsidRPr="00B97DE1" w:rsidRDefault="00C66A2A" w:rsidP="00B97DE1"/>
    <w:sectPr w:rsidR="00C66A2A" w:rsidRPr="00B97DE1" w:rsidSect="00E523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10" w:rsidRDefault="00E15810" w:rsidP="00160756">
      <w:pPr>
        <w:spacing w:after="0" w:line="240" w:lineRule="auto"/>
      </w:pPr>
      <w:r>
        <w:separator/>
      </w:r>
    </w:p>
  </w:endnote>
  <w:endnote w:type="continuationSeparator" w:id="0">
    <w:p w:rsidR="00E15810" w:rsidRDefault="00E15810" w:rsidP="0016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508002"/>
      <w:docPartObj>
        <w:docPartGallery w:val="Page Numbers (Bottom of Page)"/>
        <w:docPartUnique/>
      </w:docPartObj>
    </w:sdtPr>
    <w:sdtEndPr/>
    <w:sdtContent>
      <w:p w:rsidR="00160756" w:rsidRDefault="00E1581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D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0756" w:rsidRDefault="001607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10" w:rsidRDefault="00E15810" w:rsidP="00160756">
      <w:pPr>
        <w:spacing w:after="0" w:line="240" w:lineRule="auto"/>
      </w:pPr>
      <w:r>
        <w:separator/>
      </w:r>
    </w:p>
  </w:footnote>
  <w:footnote w:type="continuationSeparator" w:id="0">
    <w:p w:rsidR="00E15810" w:rsidRDefault="00E15810" w:rsidP="00160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6F58"/>
    <w:rsid w:val="000458F4"/>
    <w:rsid w:val="00056BC8"/>
    <w:rsid w:val="00066569"/>
    <w:rsid w:val="000A704A"/>
    <w:rsid w:val="000F0B68"/>
    <w:rsid w:val="001566DB"/>
    <w:rsid w:val="00160756"/>
    <w:rsid w:val="00190C13"/>
    <w:rsid w:val="003525BE"/>
    <w:rsid w:val="00515576"/>
    <w:rsid w:val="00693D88"/>
    <w:rsid w:val="0078264D"/>
    <w:rsid w:val="00782966"/>
    <w:rsid w:val="007E7E55"/>
    <w:rsid w:val="008F0714"/>
    <w:rsid w:val="009026CD"/>
    <w:rsid w:val="00914669"/>
    <w:rsid w:val="00984EF3"/>
    <w:rsid w:val="009B250B"/>
    <w:rsid w:val="009C7E5C"/>
    <w:rsid w:val="009E05F8"/>
    <w:rsid w:val="00A8320B"/>
    <w:rsid w:val="00B56F58"/>
    <w:rsid w:val="00B97DE1"/>
    <w:rsid w:val="00BE766D"/>
    <w:rsid w:val="00C0733F"/>
    <w:rsid w:val="00C66A2A"/>
    <w:rsid w:val="00DD021E"/>
    <w:rsid w:val="00E0387D"/>
    <w:rsid w:val="00E15810"/>
    <w:rsid w:val="00E523E2"/>
    <w:rsid w:val="00E649BF"/>
    <w:rsid w:val="00EF7432"/>
    <w:rsid w:val="00F87D45"/>
    <w:rsid w:val="00F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E2"/>
  </w:style>
  <w:style w:type="paragraph" w:styleId="2">
    <w:name w:val="heading 2"/>
    <w:basedOn w:val="a"/>
    <w:next w:val="a"/>
    <w:link w:val="20"/>
    <w:uiPriority w:val="9"/>
    <w:unhideWhenUsed/>
    <w:qFormat/>
    <w:rsid w:val="00B97D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756"/>
  </w:style>
  <w:style w:type="paragraph" w:styleId="a5">
    <w:name w:val="footer"/>
    <w:basedOn w:val="a"/>
    <w:link w:val="a6"/>
    <w:uiPriority w:val="99"/>
    <w:unhideWhenUsed/>
    <w:rsid w:val="0016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756"/>
  </w:style>
  <w:style w:type="character" w:customStyle="1" w:styleId="20">
    <w:name w:val="Заголовок 2 Знак"/>
    <w:basedOn w:val="a0"/>
    <w:link w:val="2"/>
    <w:uiPriority w:val="9"/>
    <w:rsid w:val="00B97D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25</cp:revision>
  <dcterms:created xsi:type="dcterms:W3CDTF">2010-10-18T13:29:00Z</dcterms:created>
  <dcterms:modified xsi:type="dcterms:W3CDTF">2015-06-29T14:22:00Z</dcterms:modified>
</cp:coreProperties>
</file>